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IB 283 vom 8. Juli 1985</w:t>
      </w:r>
    </w:p>
    <w:p>
      <w:r>
        <w:t>Bundesgericht (BGE), 1985-07-08, FR</w:t>
      </w:r>
    </w:p>
    <w:p>
      <w:r>
        <w:rPr>
          <w:b/>
        </w:rPr>
        <w:t xml:space="preserve">Quelle: </w:t>
      </w:r>
      <w:r>
        <w:t>https://mcp.opencaselaw.ch/entscheid/bge_114 IB 283</w:t>
      </w:r>
    </w:p>
    <w:p>
      <w:r>
        <w:t>FR: BGE 114 IB 283 du 8 juillet 1985</w:t>
      </w:r>
    </w:p>
    <w:p>
      <w:r>
        <w:t>IT: BGE 114 IB 283 del 8 luglio 1985</w:t>
      </w:r>
    </w:p>
    <w:p>
      <w:pPr>
        <w:pStyle w:val="Heading2"/>
      </w:pPr>
      <w:r>
        <w:t>Regeste</w:t>
      </w:r>
    </w:p>
    <w:p>
      <w:r>
        <w:t>Regeste Art. 5 Abs. 2 RPG; materielle Enteignung, Beginn der Zinspflicht. Entschädigungs- und Verzinsungspflicht entstehen nicht notwendigerweise im gleichen Zeitpunkt: die Zinsen können erst von dem Tage an laufen, an dem der Berechtigte unmissverständlich um Entschädigung ersucht hat. Gründe für diese Regel und Anwendungsbedingungen.</w:t>
      </w:r>
    </w:p>
    <w:p>
      <w:pPr>
        <w:pStyle w:val="Heading2"/>
      </w:pPr>
      <w:r>
        <w:t>Erwägungen</w:t>
      </w:r>
    </w:p>
    <w:p>
      <w:r>
        <w:rPr>
          <w:b/>
        </w:rPr>
        <w:t>E. 2</w:t>
      </w:r>
    </w:p>
    <w:p>
      <w:r>
        <w:t>a) Le moment déterminant pour juger si une mesure d'aménagement du territoire est constitutive d'expropriation matérielle entraînant le paiement d'une indemnité est celui de son entrée en vigueur ( ATF 110 Ib 33 consid. 4a, 259 consid. 2). C'est à ce moment aussi que naît la prétention du propriétaire à être indemnisé ( ATF 109 Ib 263 et les arrêts cités). La "juste" indemnité prévue aux art. 22ter al. 3 Cst. et 5 al. 2 LAT peut impliquer également le paiement d'intérêts. Toutefois, l'obligation de verser l'indemnité et celle de payer des intérêts ne prennent pas naissance nécessairement au même moment: les intérêts ne courent que dès le jour où l'ayant droit a manifesté d'une façon non équivoque son intention de se faire indemniser ( ATF 114 Ib 178 consid. 4, ATF 113 Ib 33 , ATF 112 Ib 504 consid. 2 b, ATF 111 Ib 83 ss consid. 3b et 4a/b). Les raisons de ne pas faire coïncider automatiquement les deux dates et d'exclure par là l'application de l'adage "dies interpellat pro homine" sont les suivantes: dans de nombreux cas, la restriction imposée n'entrave pas l'usage actuel que le BGE 114 Ib 283 S. 285 propriétaire fait de son fonds, ni ne diminue le revenu qu'il en retire; ses effets négatifs ne se manifesteront qu'en relation avec une utilisation future; aussi le propriétaire peut-il être amené, le cas échéant, à attendre pour faire valoir ses droits, en particulier lorsque la mesure d'aménagement doit être suivie d'une procédure d'expropriation formelle. L'exemple typique est celui d'un bâtiment existant qu'on classe dans une zone d'édifices d'intérêt public et que son propriétaire utilise personnellement ou loue à des conditions rémunératrices. La diversité des situations et surtout des conséquences que peut entraîner une mesure d'aménagement justifie d'exiger du propriétaire une déclaration non ambiguë de son intention de réclamer une indemnité. A cela s'ajoute que la collectivité a un intérêt évident à être renseignée sur les prétentions avancées par les propriétaires touchés, afin d'évaluer le coût des mesures ordonnées et d'en assumer le financement ou, le cas échéant, d'envisager des modifications. Cela étant, il ne faut pas non plus soumettre la déclaration demandée au propriétaire à des conditions de forme trop strictes: ce serait négliger que la restriction imposée entre immédiatement en vigueur et procure donc aussitôt des avantages à son auteur. Dans une procédure d'expropriation formelle, ces avantages lui seraient acquis seulement par l'envoi en possession anticipé, mesure qui, en droit fédéral, fait précisément naître l'obligation de payer des intérêts (cf. art. 76 al. 5 LEx .). Il suffit dès lors que l'auteur de la restriction puisse se rendre compte, d'après les règles de la bonne foi, que le propriétaire entend demander un dédommagement immédiat ( ATF 112 Ib 512 et ATF 97 I 818 ; cf. aussi ATF 111 Ib 83 ss). b) En l'espèce, le Tribunal administratif a considéré que le recourant avait pour la première fois manifesté sans ambiguïté son intention de demander une indemnité à l'Etat de Neuchâtel le 23 décembre 1980. A cette date, son mandataire écrivait en effet ce qui suit au chef du Département de l'agriculture: "... Jusqu'à maintenant, la question de l'indemnisation en cas d'expropriation est restée ouverte. Elle est abordée, par la bande, dans le recours au Tribunal fédéral et dans les observations faites par l'Etat. J'aimerais cependant, d'ores et déjà, essayer d'ouvrir la discussion pour voir si, dans le cadre amiable, une solution ne pourrait pas déjà être trouvée. L'imagine notamment la possibilité d'un éventuel rachat par l'Etat des vignes propriété de ma cliente." BGE 114 Ib 283 S. 286 Le recourant voudrait quant à lui faire remonter l'obligation de payer les intérêts à sa demande de reconsidération du classement en zone viticole du 18 juillet 1977, ... voire à son opposition du 14 mars 1977 dirigée contre le plan d'aménagement communal de Corcelles-Cormondrèche du 3 septembre 1976... c) Contrairement à l'opinion du recourant, on ne peut pas considérer que les écrits du 18 juillet et du 14 mars 1977 devaient être interprétés par l'Etat de Neuchâtel, selon les règles de la bonne foi, comme une réclamation non équivoque du propriétaire tendant au paiement immédiat d'une indemnité pour expropriation matérielle découlant de la loi cantonale sur la viticulture. La demande de reconsidération du 18 juillet 1977 est bien adressée directement à l'Etat et concerne les parcelles ici en cause. Mais son allusion à un possible préjudice financier pour les propriétaires sert seulement à étayer une demande d'être entendu personnellement avant qu'une décision ne soit prise. Quant à ... l'opposition adressée le 14 mars 1977 au Conseil communal de Corcelles-Cormondrèche, elle concerne le nouveau plan d'aménagement communal et ne traite pas seulement des parcelles... en discussion ici ... Aucune indication claire ne ressort de cette opposition quant à la personne du débiteur, au motif précis de l'indemnité, ainsi qu'à l'exigence d'un paiement immédiat. La situation est donc totalement différente de celle de l'affaire Prêtre, jugée par le Tribunal fédéral le 28 janvier 1987 ( ATF 113 Ib 30 ss), où la demande de reconsidération adressée au Conseil d'Etat contenait une requête claire et explicite d'indemnisation et se référait au surplus expressément à l'art. 13 de la loi sur la viticulture... C'est donc sans violer le droit fédéral que le Tribunal administratif a considéré que seule la lettre du 23 décembre 1980 adressée au chef du Département de l'agriculture répondait aux exigences posées en matière d'interpellation par la jurisprudence du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